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7"/>
    <w:p>
      <w:pPr>
        <w:pStyle w:val="Heading1"/>
      </w:pPr>
      <w:r>
        <w:t xml:space="preserve">Homiletics Analysis: Judges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17 opens the final major section of the book (chapters 17–21), a two-part appendix that steps outside the judge-cycle structure to present two case studies in Israel’s moral and religious collapse. Chapter 17 introduces Micah, an Ephraimite who steals eleven hundred pieces of silver from his mother, confesses under the pressure of a curse, and receives the silver back. His mother consecrates it to the LORD — then immediately has an idol cast from it. Micah installs the idol in a household shrine, adds an ephod and teraphim, and consecrates one of his sons as priest. Then, when a wandering Levite from Bethlehem arrives seeking employment, Micah hires him as his personal priest, convinced that God will now prosper him because he has secured a Levite. The chapter ends on a note of satisfied self-congratulation: Micah believes his religious arrangements are in order.</w:t>
      </w:r>
    </w:p>
    <w:p>
      <w:pPr>
        <w:pStyle w:val="BodyText"/>
      </w:pPr>
      <w:r>
        <w:t xml:space="preserve">The narrative is structured around irony at every turn. The mother invokes the LORD’s blessing while commissioning idols. Micah installs a shrine to the LORD while violating the first and second commandments. He treats the Levite as a religious commodity — a professional appointment that upgrades his standing with God. The chapter does not editorialize heavily; it allows the irony to indict. The one editorial comment that does appear is the book’s repeated refrain, stated here for the first time:</w:t>
      </w:r>
      <w:r>
        <w:t xml:space="preserve"> </w:t>
      </w:r>
      <w:r>
        <w:rPr>
          <w:i/>
          <w:iCs/>
        </w:rPr>
        <w:t xml:space="preserve">“In those days there was no king in Israel. Everyone did what was right in his own eyes”</w:t>
      </w:r>
      <w:r>
        <w:t xml:space="preserve"> </w:t>
      </w:r>
      <w:r>
        <w:t xml:space="preserve">(v. 6).</w:t>
      </w:r>
    </w:p>
    <w:p>
      <w:pPr>
        <w:pStyle w:val="BodyText"/>
      </w:pPr>
      <w:r>
        <w:rPr>
          <w:b/>
          <w:bCs/>
        </w:rPr>
        <w:t xml:space="preserve">This Text — Intent</w:t>
      </w:r>
    </w:p>
    <w:p>
      <w:pPr>
        <w:pStyle w:val="BodyText"/>
      </w:pPr>
      <w:r>
        <w:t xml:space="preserve">God is not merely reporting Israel’s religious failure — He is exposing the anatomy of syncretism: how it begins in the home, how it appropriates the LORD’s name while gutting His authority, how it substitutes religious performance for covenantal obedience, and how it produces a community so confused about what faithfulness looks like that it mistakes the form of religion for its substance. The intent is diagnostic. God is placing before the reader a mirror — not a monster, but a mirror. Micah is not a cartoon villain. He is earnest, devout by his own lights, and confident he has pleased God. That is precisely the horror. The passage functions as a warning against the deeply human tendency to construct a god who ratifies our choices rather than commanding our obedience.</w:t>
      </w:r>
    </w:p>
    <w:p>
      <w:r>
        <w:pict>
          <v:rect style="width:0;height:1.5pt" o:hralign="center" o:hrstd="t" o:hr="t"/>
        </w:pict>
      </w:r>
    </w:p>
    <w:p>
      <w:pPr>
        <w:pStyle w:val="FirstParagraph"/>
      </w:pPr>
      <w:r>
        <w:rPr>
          <w:b/>
          <w:bCs/>
        </w:rPr>
        <w:t xml:space="preserve">Subject Sentence:</w:t>
      </w:r>
      <w:r>
        <w:t xml:space="preserve"> </w:t>
      </w:r>
      <w:r>
        <w:t xml:space="preserve">Unauthorized religion — sincere, self-constructed, and lethal.</w:t>
      </w:r>
    </w:p>
    <w:p>
      <w:r>
        <w:pict>
          <v:rect style="width:0;height:1.5pt" o:hralign="center" o:hrstd="t" o:hr="t"/>
        </w:pict>
      </w:r>
    </w:p>
    <w:p>
      <w:pPr>
        <w:pStyle w:val="FirstParagraph"/>
      </w:pPr>
      <w:r>
        <w:rPr>
          <w:b/>
          <w:bCs/>
        </w:rPr>
        <w:t xml:space="preserve">Primary Claim:</w:t>
      </w:r>
      <w:r>
        <w:t xml:space="preserve"> </w:t>
      </w:r>
      <w:r>
        <w:t xml:space="preserve">When human beings become the architects of their own worship, they do not abandon religion — they deform it, retaining its forms while evacuating its authority, and calling the result faithfulness. God exposes this pattern here as an indictment, not a model.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Refrain and Its Interpretive Weight</w:t>
      </w:r>
    </w:p>
    <w:p>
      <w:pPr>
        <w:pStyle w:val="BodyText"/>
      </w:pPr>
      <w:r>
        <w:t xml:space="preserve">The refrain</w:t>
      </w:r>
      <w:r>
        <w:t xml:space="preserve"> </w:t>
      </w:r>
      <w:r>
        <w:t xml:space="preserve">“In those days there was no king in Israel; everyone did what was right in his own eyes”</w:t>
      </w:r>
      <w:r>
        <w:t xml:space="preserve"> </w:t>
      </w:r>
      <w:r>
        <w:t xml:space="preserve">(v. 6) is one of the book’s central interpretive keys. A common popular reading takes this as a straightforward argument for monarchy — Israel needs a king, and the chaos of the judges period proves it. This reading is not wrong to hear political dimensions, but it significantly underreads the text. The refrain is not primarily a political diagnosis; it is a theological one. The king Israel needs is first the LORD Himself, and only derivatively a human covenant king who embodies and enforces the covenant. The chaos of Judges 17–21 is not the absence of governance but the absence of covenant fidelity. Dispensational readings sometimes treat this refrain as establishing the need for the Davidic monarchy as a separate administration — there is something to this (the Davidic covenant does respond to the judge period), but it should not displace the more immediate point: Micah’s problem is not that he lacks a civil authority over him; it is that he has rejected the LORD’s authority while retaining the LORD’s name.</w:t>
      </w:r>
    </w:p>
    <w:p>
      <w:pPr>
        <w:pStyle w:val="BodyText"/>
      </w:pPr>
      <w:r>
        <w:rPr>
          <w:b/>
          <w:bCs/>
        </w:rPr>
        <w:t xml:space="preserve">The Levite as Professional</w:t>
      </w:r>
    </w:p>
    <w:p>
      <w:pPr>
        <w:pStyle w:val="BodyText"/>
      </w:pPr>
      <w:r>
        <w:t xml:space="preserve">A recurring interpretive question concerns how harshly to read Micah’s acquisition of the Levite. Some readings treat the Levite sympathetically — he is, after all, a Levite serving in a priestly capacity, which seems formally correct. The Reformed and canonical reading is less charitable. The Levite is from Bethlehem in Judah — not a Levitical city. He is wandering without a community. He accepts a private salary to serve a household idol shrine. His willingness to serve in this capacity indicates that the corruption of chapter 17 is not confined to the laity — the priestly office itself has been commodified. Chapter 18 confirms this: the same Levite will be recruited upward to a larger patron and will go without hesitation, making clear that his loyalty is to his employment, not to the LORD. The Reformed reading holds that the Levite’s formal qualifications do not sanctify an illegitimate appointment; they compound the indictment.</w:t>
      </w:r>
    </w:p>
    <w:p>
      <w:pPr>
        <w:pStyle w:val="BodyText"/>
      </w:pPr>
      <w:r>
        <w:rPr>
          <w:b/>
          <w:bCs/>
        </w:rPr>
        <w:t xml:space="preserve">The Mother’s Vow and the Idol</w:t>
      </w:r>
    </w:p>
    <w:p>
      <w:pPr>
        <w:pStyle w:val="BodyText"/>
      </w:pPr>
      <w:r>
        <w:t xml:space="preserve">Roman Catholic and some high-church Anglican readings may find in the mother’s piety — dedicating silver to God — an example of imperfect but sincere devotion worthy of acknowledgment. The text resists this. Her dedication to</w:t>
      </w:r>
      <w:r>
        <w:t xml:space="preserve"> </w:t>
      </w:r>
      <w:r>
        <w:t xml:space="preserve">“the LORD”</w:t>
      </w:r>
      <w:r>
        <w:t xml:space="preserve"> </w:t>
      </w:r>
      <w:r>
        <w:t xml:space="preserve">is immediately actualized as an idol, violating Exodus 20:4-6 directly. The invocation of the LORD’s name does not sanctify the idol; it indicts the invocation. The Reformed reading: sincerity of devotion does not validate the form of devotion. This is precisely the point the passage is designed to make. The text is not ambiguous about whether what Micah’s mother did was acceptable — the entire narrative arc treats it as the root of the subsequent religious catastrophe.</w:t>
      </w:r>
    </w:p>
    <w:p>
      <w:pPr>
        <w:pStyle w:val="BodyText"/>
      </w:pPr>
      <w:r>
        <w:rPr>
          <w:b/>
          <w:bCs/>
        </w:rPr>
        <w:t xml:space="preserve">Moralism Avoided</w:t>
      </w:r>
    </w:p>
    <w:p>
      <w:pPr>
        <w:pStyle w:val="BodyText"/>
      </w:pPr>
      <w:r>
        <w:t xml:space="preserve">One important Clowney-shaped qualification: the passage must not be preached as a warning against people who are</w:t>
      </w:r>
      <w:r>
        <w:t xml:space="preserve"> </w:t>
      </w:r>
      <w:r>
        <w:t xml:space="preserve">“insufficiently orthodox”</w:t>
      </w:r>
      <w:r>
        <w:t xml:space="preserve"> </w:t>
      </w:r>
      <w:r>
        <w:t xml:space="preserve">or as an occasion to congratulate the Reformed tradition for having the correct forms. The diagnostic cuts everywhere — including into the hearts of those who have correct theology but have nonetheless constructed a version of God who conveniently agrees with all their choices and requires nothing they were not already planning to give. Micah’s error is not primarily liturgical; it is covenantal. He wants God’s blessing without God’s lordship.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20:1-6</w:t>
      </w:r>
      <w:r>
        <w:t xml:space="preserve"> </w:t>
      </w:r>
      <w:r>
        <w:t xml:space="preserve">— The first and second commandments directly prohibit exactly what Micah’s household does: worshiping the LORD through images and constructing competing objects of worship. The chapter is a case study in commandments one and two violated simultaneously while the LORD’s name is invoked throughout.</w:t>
      </w:r>
    </w:p>
    <w:p>
      <w:pPr>
        <w:numPr>
          <w:ilvl w:val="0"/>
          <w:numId w:val="1001"/>
        </w:numPr>
      </w:pPr>
      <w:r>
        <w:rPr>
          <w:b/>
          <w:bCs/>
        </w:rPr>
        <w:t xml:space="preserve">Deuteronomy 12:1-14</w:t>
      </w:r>
      <w:r>
        <w:t xml:space="preserve"> </w:t>
      </w:r>
      <w:r>
        <w:t xml:space="preserve">— God explicitly prohibited Israel from worshiping</w:t>
      </w:r>
      <w:r>
        <w:t xml:space="preserve"> </w:t>
      </w:r>
      <w:r>
        <w:t xml:space="preserve">“in every place that you see”</w:t>
      </w:r>
      <w:r>
        <w:t xml:space="preserve"> </w:t>
      </w:r>
      <w:r>
        <w:t xml:space="preserve">and commanded centralized worship at the place He would choose. Micah’s household shrine is a direct violation of this command — the Deuteronomic architecture of covenant worship has been abandoned entirely.</w:t>
      </w:r>
    </w:p>
    <w:p>
      <w:pPr>
        <w:numPr>
          <w:ilvl w:val="0"/>
          <w:numId w:val="1001"/>
        </w:numPr>
      </w:pPr>
      <w:r>
        <w:rPr>
          <w:b/>
          <w:bCs/>
        </w:rPr>
        <w:t xml:space="preserve">1 Samuel 15:22-23</w:t>
      </w:r>
      <w:r>
        <w:t xml:space="preserve"> </w:t>
      </w:r>
      <w:r>
        <w:t xml:space="preserve">— Samuel’s word to Saul —</w:t>
      </w:r>
      <w:r>
        <w:t xml:space="preserve"> </w:t>
      </w:r>
      <w:r>
        <w:t xml:space="preserve">“to obey is better than sacrifice”</w:t>
      </w:r>
      <w:r>
        <w:t xml:space="preserve"> </w:t>
      </w:r>
      <w:r>
        <w:t xml:space="preserve">— captures the theological indictment of Judges 17: Micah has constructed elaborate religious performance as a substitute for covenantal obedience, and the text treats this as a form of rebellion, regardless of its sincere surface.</w:t>
      </w:r>
    </w:p>
    <w:p>
      <w:pPr>
        <w:numPr>
          <w:ilvl w:val="0"/>
          <w:numId w:val="1001"/>
        </w:numPr>
      </w:pPr>
      <w:r>
        <w:rPr>
          <w:b/>
          <w:bCs/>
        </w:rPr>
        <w:t xml:space="preserve">Isaiah 44:9-20</w:t>
      </w:r>
      <w:r>
        <w:t xml:space="preserve"> </w:t>
      </w:r>
      <w:r>
        <w:t xml:space="preserve">— Isaiah’s extended polemic against idol-making describes the same anatomy as Judges 17: the craftsman fashions a god with his own hands, bows before it, and says</w:t>
      </w:r>
      <w:r>
        <w:t xml:space="preserve"> </w:t>
      </w:r>
      <w:r>
        <w:t xml:space="preserve">“Deliver me, for you are my god.”</w:t>
      </w:r>
      <w:r>
        <w:t xml:space="preserve"> </w:t>
      </w:r>
      <w:r>
        <w:t xml:space="preserve">The absurdity Isaiah exposes is the same absurdity Judges 17 narrates — the god is a product of the worshiper’s choices, not the sovereign LORD who speaks and commands.</w:t>
      </w:r>
    </w:p>
    <w:p>
      <w:pPr>
        <w:numPr>
          <w:ilvl w:val="0"/>
          <w:numId w:val="1001"/>
        </w:numPr>
      </w:pPr>
      <w:r>
        <w:rPr>
          <w:b/>
          <w:bCs/>
        </w:rPr>
        <w:t xml:space="preserve">Romans 1:21-23</w:t>
      </w:r>
      <w:r>
        <w:t xml:space="preserve"> </w:t>
      </w:r>
      <w:r>
        <w:t xml:space="preserve">— Paul’s diagnosis of human idolatry —</w:t>
      </w:r>
      <w:r>
        <w:t xml:space="preserve"> </w:t>
      </w:r>
      <w:r>
        <w:t xml:space="preserve">“although they knew God, they did not honor him as God… but exchanged the glory of the immortal God for images”</w:t>
      </w:r>
      <w:r>
        <w:t xml:space="preserve"> </w:t>
      </w:r>
      <w:r>
        <w:t xml:space="preserve">— provides the New Testament theological frame for exactly what Judges 17 narrates historically. Micah’s household is a Hebrew instance of the universal human pattern Paul describes.</w:t>
      </w:r>
    </w:p>
    <w:p>
      <w:r>
        <w:pict>
          <v:rect style="width:0;height:1.5pt" o:hralign="center" o:hrstd="t" o:hr="t"/>
        </w:pict>
      </w:r>
    </w:p>
    <w:p>
      <w:pPr>
        <w:pStyle w:val="FirstParagraph"/>
      </w:pPr>
      <w:r>
        <w:rPr>
          <w:b/>
          <w:bCs/>
        </w:rPr>
        <w:t xml:space="preserve">Aim:</w:t>
      </w:r>
      <w:r>
        <w:t xml:space="preserve"> </w:t>
      </w:r>
      <w:r>
        <w:t xml:space="preserve">To bring the reader face to face with the specific anatomy of self-constructed religion — its sincerity, its familiarity, and its fundamental rebellion — so that they are equipped to recognize and reject it in their own lives, not merely in Micah’s.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Micah confesses to stealing 1,100 pieces of silver from his mother; she had placed a curse on the thief; he returns the silver.</w:t>
            </w:r>
          </w:p>
        </w:tc>
        <w:tc>
          <w:tcPr/>
          <w:p>
            <w:pPr>
              <w:pStyle w:val="Compact"/>
            </w:pPr>
            <w:r>
              <w:t xml:space="preserve">1,100 pieces = the same amount Delilah was paid by each Philistine lord (Judges 16:5). Possible literary echo.</w:t>
            </w:r>
          </w:p>
        </w:tc>
      </w:tr>
      <w:tr>
        <w:tc>
          <w:tcPr/>
          <w:p>
            <w:pPr>
              <w:pStyle w:val="Compact"/>
            </w:pPr>
            <w:r>
              <w:t xml:space="preserve">3</w:t>
            </w:r>
          </w:p>
        </w:tc>
        <w:tc>
          <w:tcPr/>
          <w:p>
            <w:pPr>
              <w:pStyle w:val="Compact"/>
            </w:pPr>
            <w:r>
              <w:t xml:space="preserve">The mother dedicates the silver</w:t>
            </w:r>
            <w:r>
              <w:t xml:space="preserve"> </w:t>
            </w:r>
            <w:r>
              <w:t xml:space="preserve">“to the LORD”</w:t>
            </w:r>
            <w:r>
              <w:t xml:space="preserve"> </w:t>
            </w:r>
            <w:r>
              <w:t xml:space="preserve">to make a carved image and a metal image for her son.</w:t>
            </w:r>
          </w:p>
        </w:tc>
        <w:tc>
          <w:tcPr/>
          <w:p>
            <w:pPr>
              <w:pStyle w:val="Compact"/>
            </w:pPr>
            <w:r>
              <w:t xml:space="preserve">The LORD’s name and idolatry in the same breath — the central irony of the chapter.</w:t>
            </w:r>
          </w:p>
        </w:tc>
      </w:tr>
      <w:tr>
        <w:tc>
          <w:tcPr/>
          <w:p>
            <w:pPr>
              <w:pStyle w:val="Compact"/>
            </w:pPr>
            <w:r>
              <w:t xml:space="preserve">4</w:t>
            </w:r>
          </w:p>
        </w:tc>
        <w:tc>
          <w:tcPr/>
          <w:p>
            <w:pPr>
              <w:pStyle w:val="Compact"/>
            </w:pPr>
            <w:r>
              <w:t xml:space="preserve">She gives 200 pieces to a silversmith, who fashions the idol; it is placed in Micah’s house.</w:t>
            </w:r>
          </w:p>
        </w:tc>
        <w:tc>
          <w:tcPr/>
          <w:p>
            <w:pPr>
              <w:pStyle w:val="Compact"/>
            </w:pPr>
            <w:r>
              <w:t xml:space="preserve">Only 200 of 1,100 dedicated. What happened to the rest? Unstated — perhaps itself suggestive of half-measures.</w:t>
            </w:r>
          </w:p>
        </w:tc>
      </w:tr>
      <w:tr>
        <w:tc>
          <w:tcPr/>
          <w:p>
            <w:pPr>
              <w:pStyle w:val="Compact"/>
            </w:pPr>
            <w:r>
              <w:t xml:space="preserve">5</w:t>
            </w:r>
          </w:p>
        </w:tc>
        <w:tc>
          <w:tcPr/>
          <w:p>
            <w:pPr>
              <w:pStyle w:val="Compact"/>
            </w:pPr>
            <w:r>
              <w:t xml:space="preserve">Micah has a</w:t>
            </w:r>
            <w:r>
              <w:t xml:space="preserve"> </w:t>
            </w:r>
            <w:r>
              <w:t xml:space="preserve">“house of God,”</w:t>
            </w:r>
            <w:r>
              <w:t xml:space="preserve"> </w:t>
            </w:r>
            <w:r>
              <w:t xml:space="preserve">an ephod, household gods (teraphim), and consecrates one of his sons as priest.</w:t>
            </w:r>
          </w:p>
        </w:tc>
        <w:tc>
          <w:tcPr/>
          <w:p>
            <w:pPr>
              <w:pStyle w:val="Compact"/>
            </w:pPr>
            <w:r>
              <w:t xml:space="preserve">Full unauthorized cultic apparatus: sacred space, priestly vestment, divination objects, and family-appointed clergy.</w:t>
            </w:r>
          </w:p>
        </w:tc>
      </w:tr>
      <w:tr>
        <w:tc>
          <w:tcPr/>
          <w:p>
            <w:pPr>
              <w:pStyle w:val="Compact"/>
            </w:pPr>
            <w:r>
              <w:t xml:space="preserve">6</w:t>
            </w:r>
          </w:p>
        </w:tc>
        <w:tc>
          <w:tcPr/>
          <w:p>
            <w:pPr>
              <w:pStyle w:val="Compact"/>
            </w:pPr>
            <w:r>
              <w:t xml:space="preserve">Editorial refrain:</w:t>
            </w:r>
            <w:r>
              <w:t xml:space="preserve"> </w:t>
            </w:r>
            <w:r>
              <w:t xml:space="preserve">“In those days there was no king in Israel. Everyone did what was right in his own eyes.”</w:t>
            </w:r>
          </w:p>
        </w:tc>
        <w:tc>
          <w:tcPr/>
          <w:p>
            <w:pPr>
              <w:pStyle w:val="Compact"/>
            </w:pPr>
            <w:r>
              <w:t xml:space="preserve">First occurrence of this full refrain. Theological key to the entire appendix.</w:t>
            </w:r>
          </w:p>
        </w:tc>
      </w:tr>
      <w:tr>
        <w:tc>
          <w:tcPr/>
          <w:p>
            <w:pPr>
              <w:pStyle w:val="Compact"/>
            </w:pPr>
            <w:r>
              <w:t xml:space="preserve">7–9</w:t>
            </w:r>
          </w:p>
        </w:tc>
        <w:tc>
          <w:tcPr/>
          <w:p>
            <w:pPr>
              <w:pStyle w:val="Compact"/>
            </w:pPr>
            <w:r>
              <w:t xml:space="preserve">A young Levite from Bethlehem-Judah is sojourning, looking for a place to live; he comes to Micah’s house.</w:t>
            </w:r>
          </w:p>
        </w:tc>
        <w:tc>
          <w:tcPr/>
          <w:p>
            <w:pPr>
              <w:pStyle w:val="Compact"/>
            </w:pPr>
            <w:r>
              <w:t xml:space="preserve">A Levite without a community — already an indication of the collapse of the Levitical system.</w:t>
            </w:r>
          </w:p>
        </w:tc>
      </w:tr>
      <w:tr>
        <w:tc>
          <w:tcPr/>
          <w:p>
            <w:pPr>
              <w:pStyle w:val="Compact"/>
            </w:pPr>
            <w:r>
              <w:t xml:space="preserve">10</w:t>
            </w:r>
          </w:p>
        </w:tc>
        <w:tc>
          <w:tcPr/>
          <w:p>
            <w:pPr>
              <w:pStyle w:val="Compact"/>
            </w:pPr>
            <w:r>
              <w:t xml:space="preserve">Micah offers the Levite 10 pieces of silver per year, a suit of clothes, and food — to be his</w:t>
            </w:r>
            <w:r>
              <w:t xml:space="preserve"> </w:t>
            </w:r>
            <w:r>
              <w:t xml:space="preserve">“father and priest.”</w:t>
            </w:r>
          </w:p>
        </w:tc>
        <w:tc>
          <w:tcPr/>
          <w:p>
            <w:pPr>
              <w:pStyle w:val="Compact"/>
            </w:pPr>
            <w:r>
              <w:t xml:space="preserve">The terms are purely transactional. Religion as employment.</w:t>
            </w:r>
          </w:p>
        </w:tc>
      </w:tr>
      <w:tr>
        <w:tc>
          <w:tcPr/>
          <w:p>
            <w:pPr>
              <w:pStyle w:val="Compact"/>
            </w:pPr>
            <w:r>
              <w:t xml:space="preserve">11–12</w:t>
            </w:r>
          </w:p>
        </w:tc>
        <w:tc>
          <w:tcPr/>
          <w:p>
            <w:pPr>
              <w:pStyle w:val="Compact"/>
            </w:pPr>
            <w:r>
              <w:t xml:space="preserve">The Levite agrees; Micah consecrates him as his priest; the Levite becomes like one of his sons.</w:t>
            </w:r>
          </w:p>
        </w:tc>
        <w:tc>
          <w:tcPr/>
          <w:p>
            <w:pPr>
              <w:pStyle w:val="Compact"/>
            </w:pPr>
            <w:r>
              <w:t xml:space="preserve">Micah performs the consecration himself — a layman ordaining a priest for his private shrine.</w:t>
            </w:r>
          </w:p>
        </w:tc>
      </w:tr>
      <w:tr>
        <w:tc>
          <w:tcPr/>
          <w:p>
            <w:pPr>
              <w:pStyle w:val="Compact"/>
            </w:pPr>
            <w:r>
              <w:t xml:space="preserve">13</w:t>
            </w:r>
          </w:p>
        </w:tc>
        <w:tc>
          <w:tcPr/>
          <w:p>
            <w:pPr>
              <w:pStyle w:val="Compact"/>
            </w:pPr>
            <w:r>
              <w:t xml:space="preserve">Micah concludes:</w:t>
            </w:r>
            <w:r>
              <w:t xml:space="preserve"> </w:t>
            </w:r>
            <w:r>
              <w:t xml:space="preserve">“Now I know that the LORD will prosper me, because I have a Levite as priest.”</w:t>
            </w:r>
          </w:p>
        </w:tc>
        <w:tc>
          <w:tcPr/>
          <w:p>
            <w:pPr>
              <w:pStyle w:val="Compact"/>
            </w:pPr>
            <w:r>
              <w:t xml:space="preserve">The climax of the chapter’s irony. Micah’s confidence is entirely misplaced. He has done everything wrong and believes he has done everything right.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Idol’s Origin: Silver, a Curse, and a Mother’s</w:t>
            </w:r>
            <w:r>
              <w:t xml:space="preserve"> </w:t>
            </w:r>
            <w:r>
              <w:t xml:space="preserve">“Dedication”</w:t>
            </w:r>
          </w:p>
        </w:tc>
      </w:tr>
      <w:tr>
        <w:tc>
          <w:tcPr/>
          <w:p>
            <w:pPr>
              <w:pStyle w:val="Compact"/>
            </w:pPr>
            <w:r>
              <w:t xml:space="preserve">2</w:t>
            </w:r>
          </w:p>
        </w:tc>
        <w:tc>
          <w:tcPr/>
          <w:p>
            <w:pPr>
              <w:pStyle w:val="Compact"/>
            </w:pPr>
            <w:r>
              <w:t xml:space="preserve">5–6</w:t>
            </w:r>
          </w:p>
        </w:tc>
        <w:tc>
          <w:tcPr/>
          <w:p>
            <w:pPr>
              <w:pStyle w:val="Compact"/>
            </w:pPr>
            <w:r>
              <w:t xml:space="preserve">The Shrine Assembled: A Full Apparatus of Unauthorized Worship</w:t>
            </w:r>
          </w:p>
        </w:tc>
      </w:tr>
      <w:tr>
        <w:tc>
          <w:tcPr/>
          <w:p>
            <w:pPr>
              <w:pStyle w:val="Compact"/>
            </w:pPr>
            <w:r>
              <w:t xml:space="preserve">3</w:t>
            </w:r>
          </w:p>
        </w:tc>
        <w:tc>
          <w:tcPr/>
          <w:p>
            <w:pPr>
              <w:pStyle w:val="Compact"/>
            </w:pPr>
            <w:r>
              <w:t xml:space="preserve">7–12</w:t>
            </w:r>
          </w:p>
        </w:tc>
        <w:tc>
          <w:tcPr/>
          <w:p>
            <w:pPr>
              <w:pStyle w:val="Compact"/>
            </w:pPr>
            <w:r>
              <w:t xml:space="preserve">The Levite Acquired: Religion as Transaction</w:t>
            </w:r>
          </w:p>
        </w:tc>
      </w:tr>
      <w:tr>
        <w:tc>
          <w:tcPr/>
          <w:p>
            <w:pPr>
              <w:pStyle w:val="Compact"/>
            </w:pPr>
            <w:r>
              <w:t xml:space="preserve">4</w:t>
            </w:r>
          </w:p>
        </w:tc>
        <w:tc>
          <w:tcPr/>
          <w:p>
            <w:pPr>
              <w:pStyle w:val="Compact"/>
            </w:pPr>
            <w:r>
              <w:t xml:space="preserve">13</w:t>
            </w:r>
          </w:p>
        </w:tc>
        <w:tc>
          <w:tcPr/>
          <w:p>
            <w:pPr>
              <w:pStyle w:val="Compact"/>
            </w:pPr>
            <w:r>
              <w:t xml:space="preserve">The Conclusion: Self-Satisfied and Utterly Wrong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Unauthorized religion — sincere, self-constructed, and lethal.</w:t>
      </w:r>
    </w:p>
    <w:p>
      <w:pPr>
        <w:pStyle w:val="BodyText"/>
      </w:pPr>
      <w:r>
        <w:rPr>
          <w:b/>
          <w:bCs/>
        </w:rPr>
        <w:t xml:space="preserve">Primary Claim:</w:t>
      </w:r>
      <w:r>
        <w:t xml:space="preserve"> </w:t>
      </w:r>
      <w:r>
        <w:t xml:space="preserve">When human beings become the architects of their own worship, they do not abandon religion — they deform it, retaining its forms while evacuating its authority, and calling the result faithfulness. God exposes this pattern here as an indictment, not a model.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have renamed to make it acceptable.</w:t>
      </w:r>
      <w:r>
        <w:t xml:space="preserve"> </w:t>
      </w:r>
      <w:r>
        <w:rPr>
          <w:i/>
          <w:iCs/>
        </w:rPr>
        <w:t xml:space="preserve">(Mind/belief)</w:t>
      </w:r>
      <w:r>
        <w:t xml:space="preserve"> </w:t>
      </w:r>
      <w:r>
        <w:t xml:space="preserve">Micah’s mother did not say she was making an idol. She said she was dedicating silver</w:t>
      </w:r>
      <w:r>
        <w:t xml:space="preserve"> </w:t>
      </w:r>
      <w:r>
        <w:t xml:space="preserve">“to the LORD.”</w:t>
      </w:r>
      <w:r>
        <w:t xml:space="preserve"> </w:t>
      </w:r>
      <w:r>
        <w:t xml:space="preserve">The first move of self-constructed religion is always nominative — we rename what we are doing so it sounds covenantally acceptable. Examine where you have given something a Christian label — a spiritual discipline, a ministry, a theological conviction, a lifestyle pattern — that is functioning primarily to ratify a choice you had already made. The LORD’s name does not sanctify what the LORD has not authorized.</w:t>
      </w:r>
    </w:p>
    <w:p>
      <w:pPr>
        <w:pStyle w:val="BodyText"/>
      </w:pPr>
      <w:r>
        <w:rPr>
          <w:b/>
          <w:bCs/>
        </w:rPr>
        <w:t xml:space="preserve">2. Grieve what Israel had lost before this chapter even began.</w:t>
      </w:r>
      <w:r>
        <w:t xml:space="preserve"> </w:t>
      </w:r>
      <w:r>
        <w:rPr>
          <w:i/>
          <w:iCs/>
        </w:rPr>
        <w:t xml:space="preserve">(Affections/worship)</w:t>
      </w:r>
      <w:r>
        <w:t xml:space="preserve"> </w:t>
      </w:r>
      <w:r>
        <w:t xml:space="preserve">The horror of Judges 17 is not that Israel became openly pagan — it is that they became sincerely, earnestly, confidently pseudo-faithful. The Levite is wandering. The tabernacle is apparently ignored. The Deuteronomic structure of covenant worship has been forgotten. Let this produce grief, not superiority. The church in every generation is capable of the same drift — retaining the forms of worship, the vocabulary of faith, the institutional structures — while the living authority of the LORD quietly evacuates from the center. Grieve this wherever you see it. Begin with yourself.</w:t>
      </w:r>
    </w:p>
    <w:p>
      <w:pPr>
        <w:pStyle w:val="BodyText"/>
      </w:pPr>
      <w:r>
        <w:rPr>
          <w:b/>
          <w:bCs/>
        </w:rPr>
        <w:t xml:space="preserve">3. Refuse the comfort of religious performance as a substitute for covenantal obedience.</w:t>
      </w:r>
      <w:r>
        <w:t xml:space="preserve"> </w:t>
      </w:r>
      <w:r>
        <w:rPr>
          <w:i/>
          <w:iCs/>
        </w:rPr>
        <w:t xml:space="preserve">(Will/behavior)</w:t>
      </w:r>
      <w:r>
        <w:t xml:space="preserve"> </w:t>
      </w:r>
      <w:r>
        <w:t xml:space="preserve">Micah had a shrine, an ephod, teraphim, a consecrated priest, and the LORD’s name. What he did not have was obedience to the LORD’s actual commands. Identify one area of your life where you have substituted religious activity — church attendance, giving, service, theological study — for a specific act of obedience the LORD has been requiring of you. Do not let the former silence the latter. Bring the obedience; the activity follows, not replaces it.</w:t>
      </w:r>
    </w:p>
    <w:p>
      <w:pPr>
        <w:pStyle w:val="BodyText"/>
      </w:pPr>
      <w:r>
        <w:rPr>
          <w:b/>
          <w:bCs/>
        </w:rPr>
        <w:t xml:space="preserve">4. Recognize that a god who always prospers you and never confronts you is not the LORD.</w:t>
      </w:r>
      <w:r>
        <w:t xml:space="preserve"> </w:t>
      </w:r>
      <w:r>
        <w:rPr>
          <w:i/>
          <w:iCs/>
        </w:rPr>
        <w:t xml:space="preserve">(Mind/belief)</w:t>
      </w:r>
      <w:r>
        <w:t xml:space="preserve"> </w:t>
      </w:r>
      <w:r>
        <w:t xml:space="preserve">Micah ends the chapter confident that</w:t>
      </w:r>
      <w:r>
        <w:t xml:space="preserve"> </w:t>
      </w:r>
      <w:r>
        <w:t xml:space="preserve">“the LORD will prosper me.”</w:t>
      </w:r>
      <w:r>
        <w:t xml:space="preserve"> </w:t>
      </w:r>
      <w:r>
        <w:t xml:space="preserve">His god is a god of personal benefit — available on demand, installed in his house, paid for with his silver, staffed by his employee. This god makes no inconvenient demands, threatens no curses for disobedience, and requires nothing Micah was not already planning to give. If your functional picture of God — the God you actually pray to, trust in, and expect from — is a God who consistently agrees with your choices and primarily exists to secure your outcomes, you have constructed Micah’s god, not met the LORD of Scripture.</w:t>
      </w:r>
    </w:p>
    <w:p>
      <w:pPr>
        <w:pStyle w:val="BodyText"/>
      </w:pPr>
      <w:r>
        <w:rPr>
          <w:b/>
          <w:bCs/>
        </w:rPr>
        <w:t xml:space="preserve">5. Submit your worship practices to the authority of Scripture, not the comfort of custom.</w:t>
      </w:r>
      <w:r>
        <w:t xml:space="preserve"> </w:t>
      </w:r>
      <w:r>
        <w:rPr>
          <w:i/>
          <w:iCs/>
        </w:rPr>
        <w:t xml:space="preserve">(Will/behavior)</w:t>
      </w:r>
      <w:r>
        <w:t xml:space="preserve"> </w:t>
      </w:r>
      <w:r>
        <w:t xml:space="preserve">Micah’s household worship felt right to him. It was familiar. It incorporated genuine elements — the Levite, the LORD’s name, the silver initially intended for God. The problem was that its structure was generated by Micah’s own preferences and circumstances, not by the LORD’s revealed will. Conduct an honest audit of how you determine what faithful worship looks like: your church choices, your private devotional practices, your giving, your Sabbath patterns. Are these being shaped by what Scripture commands and what the Spirit illumines, or by what is convenient, comfortable, and culturally available? Bring your worship practices under the LORD’s authority, not your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17 teaches that God is not a resource to be managed but a sovereign to be obeyed — and that the most dangerous form of religious failure is not atheism but a sincere, self-constructed counterfeit. The passage reveals that idolatry does not require the abandonment of the LORD’s name; it requires only the transfer of divine authority to human preference. God’s repeated refrain —</w:t>
      </w:r>
      <w:r>
        <w:t xml:space="preserve"> </w:t>
      </w:r>
      <w:r>
        <w:t xml:space="preserve">“everyone did what was right in his own eyes”</w:t>
      </w:r>
      <w:r>
        <w:t xml:space="preserve"> </w:t>
      </w:r>
      <w:r>
        <w:t xml:space="preserve">— is not a neutral sociological observation; it is a theological verdict on a community that has replaced theonomic authority with autonomous self-direction. The theological stakes are high precisely because the failure looks so much like faithfulness: there is a shrine, a priest, a dedication, a blessing sought. What is missing is not religious energy but covenantal submission.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17 stands as one of Scripture’s most penetrating case studies in what the Reformed tradition calls</w:t>
      </w:r>
      <w:r>
        <w:t xml:space="preserve"> </w:t>
      </w:r>
      <w:r>
        <w:rPr>
          <w:i/>
          <w:iCs/>
        </w:rPr>
        <w:t xml:space="preserve">will worship</w:t>
      </w:r>
      <w:r>
        <w:t xml:space="preserve"> </w:t>
      </w:r>
      <w:r>
        <w:t xml:space="preserve">— the construction of religious devotion according to human invention rather than divine prescription. The Westminster Confession of Faith (21.1) grounds acceptable worship in divine warrant:</w:t>
      </w:r>
      <w:r>
        <w:t xml:space="preserve"> </w:t>
      </w:r>
      <w:r>
        <w:t xml:space="preserve">“the acceptable way of worshiping the true God is instituted by himself, and so limited by his own revealed will, that he may not be worshiped according to the imaginations and devices of men.”</w:t>
      </w:r>
      <w:r>
        <w:t xml:space="preserve"> </w:t>
      </w:r>
      <w:r>
        <w:t xml:space="preserve">Micah’s household shrine is precisely this — imagination and device. The passage also grounds the Reformed insistence that the covenant LORD is not approached on human terms but on His own revealed terms, mediated through His appointed means. The Levite’s commodification further illustrates the Reformation principle that the office of ministry is not a private transaction but a public trust — a calling accountable to the whole covenant community, not a service rendered to the highest individual bidder. Most significantly, the passage drives the reader toward Christ as the only truly appointed priest and mediator, in whom alone the Father is properly approached — the One whom Micah’s hired Levite could only point toward in broken silhouette.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 have a shrine, a priest, the LORD’s name on your lips, and silver dedicated to God — and still be building your own religion rather than submitting to His. Micah was not a pagan; he was a sincere, confident, self-appointed worshiper who had made himself the final authority on what faithfulness required. The LORD’s verdict on his arrangements is written across the next four chapters. Stop building the shrine of your own approval and bring yourself under the authority of the God who has already spoken.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Micah as a cartoon villain rather than a mirror.</w:t>
      </w:r>
      <w:r>
        <w:t xml:space="preserve"> </w:t>
      </w:r>
      <w:r>
        <w:t xml:space="preserve">The most common mishandling of this passage is to present Micah as an obviously corrupt character whose errors are easily visible and easily avoided. The text will not support this reading. Micah is earnest, generous with his mother, devout in his way, and genuinely seeking God’s blessing. He is not a villain — he is a warning. Preaching him as a villain allows congregants to distance themselves from his error. Preaching him as a mirror forces the more uncomfortable and more biblical question: where am I doing exactly this?</w:t>
      </w:r>
    </w:p>
    <w:p>
      <w:pPr>
        <w:numPr>
          <w:ilvl w:val="0"/>
          <w:numId w:val="1002"/>
        </w:numPr>
      </w:pPr>
      <w:r>
        <w:rPr>
          <w:b/>
          <w:bCs/>
        </w:rPr>
        <w:t xml:space="preserve">Reducing the application to external worship practices only.</w:t>
      </w:r>
      <w:r>
        <w:t xml:space="preserve"> </w:t>
      </w:r>
      <w:r>
        <w:t xml:space="preserve">It is tempting to preach Judges 17 as a warning about liturgical deviance — unauthorized worship forms, inadequate church structures, theological carelessness in worship planning. These applications are not wrong, but they are insufficient. The passage’s diagnostic cuts at the heart level: the idol in Micah’s house began as a choice in Micah’s heart to be the architect of his own relationship with God. Applications must reach the interior before they reach the institutional.</w:t>
      </w:r>
    </w:p>
    <w:p>
      <w:pPr>
        <w:numPr>
          <w:ilvl w:val="0"/>
          <w:numId w:val="1002"/>
        </w:numPr>
      </w:pPr>
      <w:r>
        <w:rPr>
          <w:b/>
          <w:bCs/>
        </w:rPr>
        <w:t xml:space="preserve">Misreading the refrain as primarily a political statement.</w:t>
      </w:r>
      <w:r>
        <w:t xml:space="preserve"> </w:t>
      </w:r>
      <w:r>
        <w:t xml:space="preserve">“There was no king in Israel; everyone did what was right in his own eyes”</w:t>
      </w:r>
      <w:r>
        <w:t xml:space="preserve"> </w:t>
      </w:r>
      <w:r>
        <w:t xml:space="preserve">is not chiefly a call for better governance. Preaching it as such converts a theological indictment into a political commentary and displaces the text’s actual concern: the absence of covenant authority, not civil authority. The king Israel needs in this refrain is first the LORD, then ultimately the Davidic king who would embody covenant faithfulness — and in fullness, the Lord Jesus Christ.</w:t>
      </w:r>
    </w:p>
    <w:p>
      <w:pPr>
        <w:numPr>
          <w:ilvl w:val="0"/>
          <w:numId w:val="1002"/>
        </w:numPr>
      </w:pPr>
      <w:r>
        <w:rPr>
          <w:b/>
          <w:bCs/>
        </w:rPr>
        <w:t xml:space="preserve">Preaching the Levite sympathetically without engaging his complicity.</w:t>
      </w:r>
      <w:r>
        <w:t xml:space="preserve"> </w:t>
      </w:r>
      <w:r>
        <w:t xml:space="preserve">Some expositors treat the Levite as a victim — a displaced, unemployed Levite doing his best in hard circumstances. The text offers no such sympathy, and chapter 18 closes the case entirely: the same Levite upgrades his employment without hesitation when a better offer arrives. His is not a story of survival but of commodified ministry. Failing to preach this allows the congregation to miss the passage’s warning that formal qualifications and professional ministry can coexist with fundamental unfaithfulness to the LORD’s calling.</w:t>
      </w:r>
    </w:p>
    <w:p>
      <w:pPr>
        <w:numPr>
          <w:ilvl w:val="0"/>
          <w:numId w:val="1002"/>
        </w:numPr>
      </w:pPr>
      <w:r>
        <w:rPr>
          <w:b/>
          <w:bCs/>
        </w:rPr>
        <w:t xml:space="preserve">Failing to connect the chapter to the gospel’s solution.</w:t>
      </w:r>
      <w:r>
        <w:t xml:space="preserve"> </w:t>
      </w:r>
      <w:r>
        <w:t xml:space="preserve">Judges 17 diagnoses the disease of self-constructed religion. It does not, within itself, prescribe the cure. The preacher must not leave the congregation simply convicted without hope. The cure is not better self-discipline or more careful liturgy — it is the LORD Himself, in Christ, providing the one Priest who is truly appointed, truly faithful, and truly mediating — not for hire, but at the cost of His own blood. Micah could not find a faithful priest; the New Testament announces that God has provided one, and His name is not the wandering Levite.</w:t>
      </w:r>
    </w:p>
    <w:p>
      <w:pPr>
        <w:numPr>
          <w:ilvl w:val="0"/>
          <w:numId w:val="1002"/>
        </w:numPr>
      </w:pPr>
      <w:r>
        <w:rPr>
          <w:b/>
          <w:bCs/>
        </w:rPr>
        <w:t xml:space="preserve">Using the passage to preach against</w:t>
      </w:r>
      <w:r>
        <w:rPr>
          <w:b/>
          <w:bCs/>
        </w:rPr>
        <w:t xml:space="preserve"> </w:t>
      </w:r>
      <w:r>
        <w:rPr>
          <w:b/>
          <w:bCs/>
        </w:rPr>
        <w:t xml:space="preserve">“other people’s”</w:t>
      </w:r>
      <w:r>
        <w:rPr>
          <w:b/>
          <w:bCs/>
        </w:rPr>
        <w:t xml:space="preserve"> </w:t>
      </w:r>
      <w:r>
        <w:rPr>
          <w:b/>
          <w:bCs/>
        </w:rPr>
        <w:t xml:space="preserve">worship without self-examination.</w:t>
      </w:r>
      <w:r>
        <w:t xml:space="preserve"> </w:t>
      </w:r>
      <w:r>
        <w:t xml:space="preserve">Reformed congregations are particularly susceptible to using Judges 17 as ammunition against charismatic, Roman Catholic, or contemporary evangelical worship practices that feel insufficiently grounded in divine warrant. While the passage does have implications for worship theology, preaching it as comparative criticism rather than covenantal self-examination converts the text’s mirror into a weapon — which is itself an instance of doing what is right in one’s own eyes.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2026-07-14T21:02:28Z</dcterms:created>
  <dcterms:modified xsi:type="dcterms:W3CDTF">2026-07-14T21:02:28Z</dcterms:modified>
</cp:coreProperties>
</file>

<file path=docProps/custom.xml><?xml version="1.0" encoding="utf-8"?>
<Properties xmlns="http://schemas.openxmlformats.org/officeDocument/2006/custom-properties" xmlns:vt="http://schemas.openxmlformats.org/officeDocument/2006/docPropsVTypes"/>
</file>